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166" w:rsidRPr="002E071D" w:rsidRDefault="00090980" w:rsidP="000A6DB3">
      <w:pPr>
        <w:ind w:left="567"/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3F52C8A" wp14:editId="2FBA7609">
            <wp:simplePos x="0" y="0"/>
            <wp:positionH relativeFrom="column">
              <wp:posOffset>2562225</wp:posOffset>
            </wp:positionH>
            <wp:positionV relativeFrom="paragraph">
              <wp:posOffset>-49530</wp:posOffset>
            </wp:positionV>
            <wp:extent cx="742950" cy="823595"/>
            <wp:effectExtent l="0" t="0" r="0" b="0"/>
            <wp:wrapNone/>
            <wp:docPr id="1" name="Рисунок 1" descr="gerb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20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3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03E" w:rsidRPr="002E071D" w:rsidRDefault="00AF203E"/>
    <w:p w:rsidR="00AF203E" w:rsidRPr="002E071D" w:rsidRDefault="00AF203E"/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 xml:space="preserve">МИНИСТЕРСТВО ПРОМЫШЛЕННОСТИ И ЭНЕРГЕТИКИ 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ЧЕЧЕНСКОЙ РЕСПУБЛИКИ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8"/>
        </w:rPr>
      </w:pP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071D">
        <w:rPr>
          <w:rFonts w:ascii="Times New Roman" w:hAnsi="Times New Roman" w:cs="Times New Roman"/>
          <w:b/>
          <w:sz w:val="28"/>
        </w:rPr>
        <w:t>НОХЧИЙН РЕСПУБЛИКИН ПРОМЫШЛЕННОСТАН А, ЭНЕРГЕТИКАН А МИНИСТЕРСТВО</w:t>
      </w:r>
    </w:p>
    <w:p w:rsidR="00AF203E" w:rsidRPr="002E071D" w:rsidRDefault="00AF203E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7F41BE" w:rsidRDefault="00AF203E" w:rsidP="007F41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235CE">
        <w:rPr>
          <w:rFonts w:ascii="Times New Roman" w:hAnsi="Times New Roman" w:cs="Times New Roman"/>
          <w:b/>
          <w:sz w:val="28"/>
        </w:rPr>
        <w:t>ПРИКАЗ</w:t>
      </w:r>
    </w:p>
    <w:p w:rsidR="006B52DA" w:rsidRPr="002E071D" w:rsidRDefault="006B52DA" w:rsidP="00AF203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F203E" w:rsidRPr="002E071D" w:rsidRDefault="00AF203E" w:rsidP="000A6DB3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071D">
        <w:rPr>
          <w:rFonts w:ascii="Times New Roman" w:hAnsi="Times New Roman" w:cs="Times New Roman"/>
          <w:sz w:val="28"/>
        </w:rPr>
        <w:t>«__</w:t>
      </w:r>
      <w:r w:rsidR="00441C73" w:rsidRPr="002E071D">
        <w:rPr>
          <w:rFonts w:ascii="Times New Roman" w:hAnsi="Times New Roman" w:cs="Times New Roman"/>
          <w:sz w:val="28"/>
        </w:rPr>
        <w:t>_</w:t>
      </w:r>
      <w:r w:rsidRPr="002E071D">
        <w:rPr>
          <w:rFonts w:ascii="Times New Roman" w:hAnsi="Times New Roman" w:cs="Times New Roman"/>
          <w:sz w:val="28"/>
        </w:rPr>
        <w:t>» _____</w:t>
      </w:r>
      <w:r w:rsidR="007A56EE" w:rsidRPr="002E071D">
        <w:rPr>
          <w:rFonts w:ascii="Times New Roman" w:hAnsi="Times New Roman" w:cs="Times New Roman"/>
          <w:sz w:val="28"/>
        </w:rPr>
        <w:t>__</w:t>
      </w:r>
      <w:r w:rsidR="00F86E58">
        <w:rPr>
          <w:rFonts w:ascii="Times New Roman" w:hAnsi="Times New Roman" w:cs="Times New Roman"/>
          <w:sz w:val="28"/>
        </w:rPr>
        <w:t>_ 2022</w:t>
      </w:r>
      <w:r w:rsidR="00866338" w:rsidRPr="002E071D">
        <w:rPr>
          <w:rFonts w:ascii="Times New Roman" w:hAnsi="Times New Roman" w:cs="Times New Roman"/>
          <w:sz w:val="28"/>
        </w:rPr>
        <w:t xml:space="preserve"> г.              </w:t>
      </w:r>
      <w:r w:rsidR="00441C73" w:rsidRPr="002E071D">
        <w:rPr>
          <w:rFonts w:ascii="Times New Roman" w:hAnsi="Times New Roman" w:cs="Times New Roman"/>
          <w:sz w:val="28"/>
        </w:rPr>
        <w:t xml:space="preserve"> </w:t>
      </w:r>
      <w:r w:rsidR="004235CE">
        <w:rPr>
          <w:rFonts w:ascii="Times New Roman" w:hAnsi="Times New Roman" w:cs="Times New Roman"/>
          <w:sz w:val="28"/>
        </w:rPr>
        <w:t xml:space="preserve"> </w:t>
      </w:r>
      <w:r w:rsidR="00441C73" w:rsidRPr="002E071D">
        <w:rPr>
          <w:rFonts w:ascii="Times New Roman" w:hAnsi="Times New Roman" w:cs="Times New Roman"/>
          <w:sz w:val="28"/>
        </w:rPr>
        <w:t xml:space="preserve">             </w:t>
      </w:r>
      <w:r w:rsidRPr="002E071D">
        <w:rPr>
          <w:rFonts w:ascii="Times New Roman" w:hAnsi="Times New Roman" w:cs="Times New Roman"/>
          <w:sz w:val="28"/>
        </w:rPr>
        <w:t xml:space="preserve">                   </w:t>
      </w:r>
      <w:r w:rsidR="000A6DB3">
        <w:rPr>
          <w:rFonts w:ascii="Times New Roman" w:hAnsi="Times New Roman" w:cs="Times New Roman"/>
          <w:sz w:val="28"/>
        </w:rPr>
        <w:t xml:space="preserve">   </w:t>
      </w:r>
      <w:r w:rsidRPr="002E071D">
        <w:rPr>
          <w:rFonts w:ascii="Times New Roman" w:hAnsi="Times New Roman" w:cs="Times New Roman"/>
          <w:sz w:val="28"/>
        </w:rPr>
        <w:t xml:space="preserve">     </w:t>
      </w:r>
      <w:r w:rsidR="000A6DB3">
        <w:rPr>
          <w:rFonts w:ascii="Times New Roman" w:hAnsi="Times New Roman" w:cs="Times New Roman"/>
          <w:sz w:val="28"/>
        </w:rPr>
        <w:t xml:space="preserve">            </w:t>
      </w:r>
      <w:r w:rsidR="004235CE">
        <w:rPr>
          <w:rFonts w:ascii="Times New Roman" w:hAnsi="Times New Roman" w:cs="Times New Roman"/>
          <w:sz w:val="28"/>
        </w:rPr>
        <w:tab/>
      </w:r>
      <w:r w:rsidRPr="002E071D">
        <w:rPr>
          <w:rFonts w:ascii="Times New Roman" w:hAnsi="Times New Roman" w:cs="Times New Roman"/>
          <w:sz w:val="28"/>
        </w:rPr>
        <w:t>№_____</w:t>
      </w:r>
    </w:p>
    <w:p w:rsidR="00AF203E" w:rsidRDefault="000A6DB3" w:rsidP="000A6DB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Грозный</w:t>
      </w:r>
    </w:p>
    <w:p w:rsidR="0059478B" w:rsidRDefault="0059478B" w:rsidP="00FA5B95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0" w:name="__DdeLink__132_812716584"/>
    </w:p>
    <w:p w:rsidR="00FA5B95" w:rsidRDefault="00FA5B95" w:rsidP="00384E2F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</w:t>
      </w:r>
      <w:r w:rsidR="005F715E">
        <w:rPr>
          <w:rFonts w:ascii="Times New Roman" w:hAnsi="Times New Roman"/>
          <w:b/>
          <w:sz w:val="28"/>
        </w:rPr>
        <w:t xml:space="preserve">Программы профилактики </w:t>
      </w:r>
      <w:r w:rsidR="00504682">
        <w:rPr>
          <w:rFonts w:ascii="Times New Roman" w:hAnsi="Times New Roman"/>
          <w:b/>
          <w:sz w:val="28"/>
        </w:rPr>
        <w:t>рисков причинения вреда (ущерба) охраняемым зак</w:t>
      </w:r>
      <w:r w:rsidR="00BF3866">
        <w:rPr>
          <w:rFonts w:ascii="Times New Roman" w:hAnsi="Times New Roman"/>
          <w:b/>
          <w:sz w:val="28"/>
        </w:rPr>
        <w:t>оном ценностям по федеральному государственному лицензионному контролю (надзору</w:t>
      </w:r>
      <w:r w:rsidR="00504682">
        <w:rPr>
          <w:rFonts w:ascii="Times New Roman" w:hAnsi="Times New Roman"/>
          <w:b/>
          <w:sz w:val="28"/>
        </w:rPr>
        <w:t>) по заготовке, хранению, переработке и реализации</w:t>
      </w:r>
      <w:r w:rsidR="005F715E">
        <w:rPr>
          <w:rFonts w:ascii="Times New Roman" w:hAnsi="Times New Roman"/>
          <w:b/>
          <w:sz w:val="28"/>
        </w:rPr>
        <w:t xml:space="preserve"> лома черных металлов, цвет</w:t>
      </w:r>
      <w:r w:rsidR="00BF3866">
        <w:rPr>
          <w:rFonts w:ascii="Times New Roman" w:hAnsi="Times New Roman"/>
          <w:b/>
          <w:sz w:val="28"/>
        </w:rPr>
        <w:t>ных металлов на 2023</w:t>
      </w:r>
      <w:r w:rsidR="00504682">
        <w:rPr>
          <w:rFonts w:ascii="Times New Roman" w:hAnsi="Times New Roman"/>
          <w:b/>
          <w:sz w:val="28"/>
        </w:rPr>
        <w:t xml:space="preserve"> год</w:t>
      </w:r>
    </w:p>
    <w:p w:rsidR="00FA5B95" w:rsidRDefault="00FA5B95" w:rsidP="00FA5B95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</w:p>
    <w:p w:rsidR="00FA5B95" w:rsidRPr="005E6D4A" w:rsidRDefault="00FA5B95" w:rsidP="00FA5B95">
      <w:pPr>
        <w:tabs>
          <w:tab w:val="left" w:pos="567"/>
          <w:tab w:val="left" w:pos="851"/>
          <w:tab w:val="left" w:pos="8931"/>
        </w:tabs>
        <w:spacing w:after="0" w:line="276" w:lineRule="auto"/>
        <w:ind w:left="142" w:right="14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6673F">
        <w:rPr>
          <w:rFonts w:ascii="Times New Roman" w:hAnsi="Times New Roman" w:cs="Times New Roman"/>
          <w:sz w:val="28"/>
          <w:szCs w:val="28"/>
        </w:rPr>
        <w:t>с статьей 44</w:t>
      </w:r>
      <w:r w:rsidR="005F715E">
        <w:rPr>
          <w:rFonts w:ascii="Times New Roman" w:hAnsi="Times New Roman" w:cs="Times New Roman"/>
          <w:sz w:val="28"/>
          <w:szCs w:val="28"/>
        </w:rPr>
        <w:t xml:space="preserve"> Ф</w:t>
      </w:r>
      <w:r w:rsidR="005E6D4A">
        <w:rPr>
          <w:rFonts w:ascii="Times New Roman" w:hAnsi="Times New Roman" w:cs="Times New Roman"/>
          <w:sz w:val="28"/>
          <w:szCs w:val="28"/>
        </w:rPr>
        <w:t>едерального закона от 31.07.2020 № 248-ФЗ</w:t>
      </w:r>
      <w:r w:rsidR="00CE018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CE0183">
        <w:rPr>
          <w:rFonts w:ascii="Times New Roman" w:hAnsi="Times New Roman" w:cs="Times New Roman"/>
          <w:sz w:val="28"/>
          <w:szCs w:val="28"/>
        </w:rPr>
        <w:t xml:space="preserve">  </w:t>
      </w:r>
      <w:r w:rsidR="005E6D4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5E6D4A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</w:t>
      </w:r>
      <w:r w:rsidR="005F715E">
        <w:rPr>
          <w:rFonts w:ascii="Times New Roman" w:hAnsi="Times New Roman" w:cs="Times New Roman"/>
          <w:sz w:val="28"/>
          <w:szCs w:val="28"/>
        </w:rPr>
        <w:t>»</w:t>
      </w:r>
      <w:r w:rsidR="00F86E58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и Постановлением Правительства Российско</w:t>
      </w:r>
      <w:r w:rsidR="005E6D4A">
        <w:rPr>
          <w:rFonts w:ascii="Times New Roman" w:hAnsi="Times New Roman" w:cs="Times New Roman"/>
          <w:sz w:val="28"/>
          <w:szCs w:val="28"/>
        </w:rPr>
        <w:t>й Федерации от 25.06.2021 № 990</w:t>
      </w:r>
      <w:r w:rsidR="005F715E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5E6D4A">
        <w:rPr>
          <w:rFonts w:ascii="Times New Roman" w:hAnsi="Times New Roman" w:cs="Times New Roman"/>
          <w:sz w:val="28"/>
          <w:szCs w:val="28"/>
        </w:rPr>
        <w:t>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5F715E">
        <w:rPr>
          <w:rFonts w:ascii="Times New Roman" w:hAnsi="Times New Roman" w:cs="Times New Roman"/>
          <w:sz w:val="28"/>
          <w:szCs w:val="28"/>
        </w:rPr>
        <w:t>» п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р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и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к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а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з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ы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в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а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5F715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6073" w:rsidRPr="00A65B30" w:rsidRDefault="00FA5B95" w:rsidP="00BF3866">
      <w:pPr>
        <w:pStyle w:val="a6"/>
        <w:tabs>
          <w:tab w:val="left" w:pos="0"/>
        </w:tabs>
        <w:spacing w:line="276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FA5B95">
        <w:rPr>
          <w:rFonts w:ascii="Times New Roman" w:hAnsi="Times New Roman" w:cs="Times New Roman"/>
          <w:sz w:val="28"/>
          <w:szCs w:val="28"/>
        </w:rPr>
        <w:t>1.</w:t>
      </w:r>
      <w:r w:rsidR="003738C9">
        <w:rPr>
          <w:rFonts w:ascii="Times New Roman" w:hAnsi="Times New Roman" w:cs="Times New Roman"/>
        </w:rPr>
        <w:t xml:space="preserve"> </w:t>
      </w:r>
      <w:r w:rsidR="0027058B">
        <w:rPr>
          <w:rFonts w:ascii="Times New Roman" w:hAnsi="Times New Roman" w:cs="Times New Roman"/>
          <w:sz w:val="28"/>
          <w:szCs w:val="28"/>
        </w:rPr>
        <w:t>Утвердить</w:t>
      </w:r>
      <w:r w:rsidRPr="00FA5B95">
        <w:rPr>
          <w:rFonts w:ascii="Times New Roman" w:hAnsi="Times New Roman" w:cs="Times New Roman"/>
          <w:sz w:val="28"/>
          <w:szCs w:val="28"/>
        </w:rPr>
        <w:t xml:space="preserve"> </w:t>
      </w:r>
      <w:r w:rsidR="005E6D4A">
        <w:rPr>
          <w:rFonts w:ascii="Times New Roman" w:hAnsi="Times New Roman" w:cs="Times New Roman"/>
          <w:sz w:val="28"/>
          <w:szCs w:val="28"/>
        </w:rPr>
        <w:t>прилагаемую Программу п</w:t>
      </w:r>
      <w:r w:rsidR="005F715E">
        <w:rPr>
          <w:rFonts w:ascii="Times New Roman" w:hAnsi="Times New Roman" w:cs="Times New Roman"/>
          <w:sz w:val="28"/>
          <w:szCs w:val="28"/>
        </w:rPr>
        <w:t xml:space="preserve">рофилактики </w:t>
      </w:r>
      <w:r w:rsidR="005E6D4A">
        <w:rPr>
          <w:rFonts w:ascii="Times New Roman" w:hAnsi="Times New Roman" w:cs="Times New Roman"/>
          <w:sz w:val="28"/>
          <w:szCs w:val="28"/>
        </w:rPr>
        <w:t xml:space="preserve">рисков </w:t>
      </w:r>
      <w:r w:rsidR="00504682">
        <w:rPr>
          <w:rFonts w:ascii="Times New Roman" w:hAnsi="Times New Roman" w:cs="Times New Roman"/>
          <w:sz w:val="28"/>
          <w:szCs w:val="28"/>
        </w:rPr>
        <w:t>причинения</w:t>
      </w:r>
      <w:r w:rsidR="005E6D4A">
        <w:rPr>
          <w:rFonts w:ascii="Times New Roman" w:hAnsi="Times New Roman" w:cs="Times New Roman"/>
          <w:sz w:val="28"/>
          <w:szCs w:val="28"/>
        </w:rPr>
        <w:t xml:space="preserve"> вреда (ущерба)</w:t>
      </w:r>
      <w:r w:rsidR="00504682">
        <w:rPr>
          <w:rFonts w:ascii="Times New Roman" w:hAnsi="Times New Roman" w:cs="Times New Roman"/>
          <w:sz w:val="28"/>
          <w:szCs w:val="28"/>
        </w:rPr>
        <w:t xml:space="preserve"> охраняемым законом ценностям</w:t>
      </w:r>
      <w:r w:rsidR="005E6D4A">
        <w:rPr>
          <w:rFonts w:ascii="Times New Roman" w:hAnsi="Times New Roman" w:cs="Times New Roman"/>
          <w:sz w:val="28"/>
          <w:szCs w:val="28"/>
        </w:rPr>
        <w:t xml:space="preserve"> </w:t>
      </w:r>
      <w:r w:rsidR="00BF3866">
        <w:rPr>
          <w:rFonts w:ascii="Times New Roman" w:hAnsi="Times New Roman" w:cs="Times New Roman"/>
          <w:sz w:val="28"/>
          <w:szCs w:val="28"/>
        </w:rPr>
        <w:t>по федеральному государственному лицензионному контролю</w:t>
      </w:r>
      <w:r w:rsidR="00504682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BF3866">
        <w:rPr>
          <w:rFonts w:ascii="Times New Roman" w:hAnsi="Times New Roman" w:cs="Times New Roman"/>
          <w:sz w:val="28"/>
          <w:szCs w:val="28"/>
        </w:rPr>
        <w:t>у</w:t>
      </w:r>
      <w:r w:rsidR="00504682">
        <w:rPr>
          <w:rFonts w:ascii="Times New Roman" w:hAnsi="Times New Roman" w:cs="Times New Roman"/>
          <w:sz w:val="28"/>
          <w:szCs w:val="28"/>
        </w:rPr>
        <w:t xml:space="preserve">) за деятельностью по заготовке, хранению, переработке и реализации лома черных металлов, цветных </w:t>
      </w:r>
      <w:r w:rsidR="00BF3866">
        <w:rPr>
          <w:rFonts w:ascii="Times New Roman" w:hAnsi="Times New Roman" w:cs="Times New Roman"/>
          <w:sz w:val="28"/>
          <w:szCs w:val="28"/>
        </w:rPr>
        <w:t>металлов на</w:t>
      </w:r>
      <w:r w:rsidR="00001A5F">
        <w:rPr>
          <w:rFonts w:ascii="Times New Roman" w:hAnsi="Times New Roman" w:cs="Times New Roman"/>
          <w:sz w:val="28"/>
          <w:szCs w:val="28"/>
        </w:rPr>
        <w:t xml:space="preserve"> </w:t>
      </w:r>
      <w:r w:rsidR="00BF3866">
        <w:rPr>
          <w:rFonts w:ascii="Times New Roman" w:hAnsi="Times New Roman" w:cs="Times New Roman"/>
          <w:sz w:val="28"/>
          <w:szCs w:val="28"/>
        </w:rPr>
        <w:t>2023</w:t>
      </w:r>
      <w:r w:rsidR="00B441E9">
        <w:rPr>
          <w:rFonts w:ascii="Times New Roman" w:hAnsi="Times New Roman" w:cs="Times New Roman"/>
          <w:sz w:val="28"/>
          <w:szCs w:val="28"/>
        </w:rPr>
        <w:t xml:space="preserve"> год</w:t>
      </w:r>
      <w:r w:rsidR="00A65B30">
        <w:rPr>
          <w:rFonts w:ascii="Times New Roman" w:hAnsi="Times New Roman" w:cs="Times New Roman"/>
          <w:sz w:val="28"/>
          <w:szCs w:val="28"/>
        </w:rPr>
        <w:t xml:space="preserve"> (далее-Программа профилактики)</w:t>
      </w:r>
      <w:r w:rsidR="00C856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6073" w:rsidRPr="00A65B30" w:rsidRDefault="003738C9" w:rsidP="00A65B30">
      <w:pPr>
        <w:pStyle w:val="a6"/>
        <w:tabs>
          <w:tab w:val="left" w:pos="0"/>
        </w:tabs>
        <w:spacing w:line="276" w:lineRule="auto"/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3866">
        <w:rPr>
          <w:rFonts w:ascii="Times New Roman" w:hAnsi="Times New Roman" w:cs="Times New Roman"/>
          <w:sz w:val="28"/>
          <w:szCs w:val="28"/>
        </w:rPr>
        <w:t>2</w:t>
      </w:r>
      <w:r w:rsidR="00A65B30">
        <w:rPr>
          <w:rFonts w:ascii="Times New Roman" w:hAnsi="Times New Roman" w:cs="Times New Roman"/>
          <w:sz w:val="28"/>
          <w:szCs w:val="28"/>
        </w:rPr>
        <w:t xml:space="preserve">. </w:t>
      </w:r>
      <w:r w:rsidRPr="00CB276A">
        <w:rPr>
          <w:rFonts w:ascii="Times New Roman" w:hAnsi="Times New Roman" w:cs="Times New Roman"/>
          <w:sz w:val="28"/>
          <w:szCs w:val="28"/>
        </w:rPr>
        <w:t>Департаменту государственной службы, правовой работы и информатизации обеспечи</w:t>
      </w:r>
      <w:r>
        <w:rPr>
          <w:rFonts w:ascii="Times New Roman" w:hAnsi="Times New Roman" w:cs="Times New Roman"/>
          <w:sz w:val="28"/>
          <w:szCs w:val="28"/>
        </w:rPr>
        <w:t>ть размещение Программы профилактики</w:t>
      </w:r>
      <w:r w:rsidRPr="00CB276A">
        <w:rPr>
          <w:rFonts w:ascii="Times New Roman" w:hAnsi="Times New Roman" w:cs="Times New Roman"/>
          <w:sz w:val="28"/>
          <w:szCs w:val="28"/>
        </w:rPr>
        <w:t xml:space="preserve"> на официальном сайте Министерства промышленности и энергетики Чеченской Республики в информационно-телекоммуникационной сети «Интернет» (http://minpromchr.ru)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5B95" w:rsidRDefault="00BF3866" w:rsidP="00FA5B95">
      <w:pPr>
        <w:pStyle w:val="a6"/>
        <w:tabs>
          <w:tab w:val="left" w:pos="0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3</w:t>
      </w:r>
      <w:r w:rsidR="00FA5B95" w:rsidRPr="00FA5B95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возложить на</w:t>
      </w:r>
      <w:r w:rsidR="000D225D">
        <w:rPr>
          <w:rFonts w:ascii="Times New Roman" w:hAnsi="Times New Roman" w:cs="Times New Roman"/>
          <w:sz w:val="28"/>
          <w:szCs w:val="28"/>
        </w:rPr>
        <w:t xml:space="preserve"> заме</w:t>
      </w:r>
      <w:r w:rsidR="004F1A49">
        <w:rPr>
          <w:rFonts w:ascii="Times New Roman" w:hAnsi="Times New Roman" w:cs="Times New Roman"/>
          <w:sz w:val="28"/>
          <w:szCs w:val="28"/>
        </w:rPr>
        <w:t xml:space="preserve">стителя министра </w:t>
      </w:r>
      <w:r>
        <w:rPr>
          <w:rFonts w:ascii="Times New Roman" w:hAnsi="Times New Roman" w:cs="Times New Roman"/>
          <w:sz w:val="28"/>
          <w:szCs w:val="28"/>
        </w:rPr>
        <w:t xml:space="preserve">промышленности и энергетики Чеченской Республики Л.Х.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Мисерханова</w:t>
      </w:r>
      <w:proofErr w:type="spellEnd"/>
      <w:r w:rsidR="00FA5B95" w:rsidRPr="00FA5B95">
        <w:rPr>
          <w:rFonts w:ascii="Times New Roman" w:hAnsi="Times New Roman" w:cs="Times New Roman"/>
          <w:sz w:val="28"/>
          <w:szCs w:val="28"/>
        </w:rPr>
        <w:t>.</w:t>
      </w:r>
    </w:p>
    <w:p w:rsidR="00504682" w:rsidRPr="00FA5B95" w:rsidRDefault="00BF3866" w:rsidP="00FA5B95">
      <w:pPr>
        <w:pStyle w:val="a6"/>
        <w:tabs>
          <w:tab w:val="left" w:pos="0"/>
        </w:tabs>
        <w:ind w:left="142"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504682">
        <w:rPr>
          <w:rFonts w:ascii="Times New Roman" w:hAnsi="Times New Roman" w:cs="Times New Roman"/>
          <w:sz w:val="28"/>
          <w:szCs w:val="28"/>
        </w:rPr>
        <w:t xml:space="preserve">.    </w:t>
      </w:r>
      <w:r w:rsidR="000C7F0B">
        <w:rPr>
          <w:rFonts w:ascii="Times New Roman" w:hAnsi="Times New Roman"/>
          <w:sz w:val="28"/>
          <w:szCs w:val="28"/>
        </w:rPr>
        <w:t>Настоящий</w:t>
      </w:r>
      <w:r w:rsidR="000C7F0B">
        <w:rPr>
          <w:rFonts w:ascii="Times New Roman" w:hAnsi="Times New Roman" w:cs="Times New Roman"/>
          <w:sz w:val="28"/>
          <w:szCs w:val="28"/>
        </w:rPr>
        <w:t xml:space="preserve"> п</w:t>
      </w:r>
      <w:r w:rsidR="00504682">
        <w:rPr>
          <w:rFonts w:ascii="Times New Roman" w:hAnsi="Times New Roman" w:cs="Times New Roman"/>
          <w:sz w:val="28"/>
          <w:szCs w:val="28"/>
        </w:rPr>
        <w:t xml:space="preserve">риказ вступает в силу со дня с его подписания. </w:t>
      </w:r>
    </w:p>
    <w:p w:rsidR="00FA5B95" w:rsidRPr="00FA5B95" w:rsidRDefault="00FA5B95" w:rsidP="00FA5B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5B95" w:rsidRPr="00FA5B95" w:rsidRDefault="00FA5B95" w:rsidP="00FA5B95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FA5B95" w:rsidRDefault="00FA5B95" w:rsidP="00FA5B9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3866" w:rsidRDefault="00704C09" w:rsidP="00065E2F">
      <w:pPr>
        <w:pStyle w:val="ae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235CE">
        <w:rPr>
          <w:sz w:val="28"/>
          <w:szCs w:val="28"/>
        </w:rPr>
        <w:t>М</w:t>
      </w:r>
      <w:r w:rsidR="00615CE2" w:rsidRPr="002E071D">
        <w:rPr>
          <w:sz w:val="28"/>
          <w:szCs w:val="28"/>
        </w:rPr>
        <w:t>инистр</w:t>
      </w:r>
      <w:r w:rsidR="000D6606" w:rsidRPr="002E071D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7528D7" w:rsidRPr="002E071D">
        <w:rPr>
          <w:sz w:val="28"/>
          <w:szCs w:val="28"/>
        </w:rPr>
        <w:tab/>
      </w:r>
      <w:r w:rsidR="007E609C">
        <w:rPr>
          <w:sz w:val="28"/>
          <w:szCs w:val="28"/>
        </w:rPr>
        <w:t xml:space="preserve"> </w:t>
      </w:r>
      <w:r w:rsidR="007528D7" w:rsidRPr="002E071D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</w:r>
      <w:r w:rsidR="004227DC">
        <w:rPr>
          <w:sz w:val="28"/>
          <w:szCs w:val="28"/>
        </w:rPr>
        <w:tab/>
        <w:t xml:space="preserve"> </w:t>
      </w:r>
      <w:r w:rsidR="000A6DB3">
        <w:rPr>
          <w:sz w:val="28"/>
          <w:szCs w:val="28"/>
        </w:rPr>
        <w:t xml:space="preserve">  </w:t>
      </w:r>
      <w:r w:rsidR="003B2AA5" w:rsidRPr="002E071D">
        <w:rPr>
          <w:sz w:val="28"/>
          <w:szCs w:val="28"/>
        </w:rPr>
        <w:t xml:space="preserve"> </w:t>
      </w:r>
      <w:r w:rsidR="009953DC">
        <w:rPr>
          <w:sz w:val="28"/>
          <w:szCs w:val="28"/>
        </w:rPr>
        <w:t xml:space="preserve">   </w:t>
      </w:r>
      <w:r w:rsidR="003B2AA5" w:rsidRPr="002E071D">
        <w:rPr>
          <w:sz w:val="28"/>
          <w:szCs w:val="28"/>
        </w:rPr>
        <w:t xml:space="preserve"> </w:t>
      </w:r>
      <w:r w:rsidR="00F86E58">
        <w:rPr>
          <w:sz w:val="28"/>
          <w:szCs w:val="28"/>
        </w:rPr>
        <w:t xml:space="preserve">   </w:t>
      </w:r>
      <w:r w:rsidR="00BF3866">
        <w:rPr>
          <w:sz w:val="28"/>
          <w:szCs w:val="28"/>
        </w:rPr>
        <w:t xml:space="preserve">        </w:t>
      </w:r>
      <w:r w:rsidR="00F86E58">
        <w:rPr>
          <w:sz w:val="28"/>
          <w:szCs w:val="28"/>
        </w:rPr>
        <w:t xml:space="preserve"> А.С. Хакимов</w:t>
      </w:r>
      <w:bookmarkStart w:id="1" w:name="_GoBack"/>
      <w:bookmarkEnd w:id="0"/>
      <w:bookmarkEnd w:id="1"/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министерства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промышленности и энергетики 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Чеченской Республики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« _</w:t>
      </w:r>
      <w:proofErr w:type="gramEnd"/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_ » _____ 2022 г. № ____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2" w:name="_Hlk111213673"/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профилактики рисков причинения вреда (ущерба) охраняемым законом ценностям по федеральному государственному лицензионному контролю (надзору) за деятельностью по заготовке, хранению, переработке и реализации лома черных металлов, цветных металлов на 2023 год</w:t>
      </w:r>
    </w:p>
    <w:bookmarkEnd w:id="2"/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3"/>
        <w:tblW w:w="10343" w:type="dxa"/>
        <w:tblLook w:val="04A0" w:firstRow="1" w:lastRow="0" w:firstColumn="1" w:lastColumn="0" w:noHBand="0" w:noVBand="1"/>
      </w:tblPr>
      <w:tblGrid>
        <w:gridCol w:w="2689"/>
        <w:gridCol w:w="7654"/>
      </w:tblGrid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Программа профилактики рисков причинения вреда (ущерба) охраняемым законом ценностям на 2023 год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Правовые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основания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разработки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Федеральный закон от 31 июля 2020 года № 248-ФЗ «О государственном контроле (надзоре) и муниципальном контроле в Российской Федерации»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Постановление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Отдел недропользования и контроля в сфере ТЭК, министерства промышленности и энергетики Чеченкой Республики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- предотвращение рисков причинения вреда (ущерба) охраняемым законом ценностям;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- предупреждение нарушений обязательных требований (снижение числа нарушений обязательных требований) в подконтрольной сфере общественных отношений;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- создание инфраструктуры профилактики рисков причинения вреда охраняемым законом ценностям;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выявление причин, факторов и условий, способствующих причинению вреда охраняемым законом ценностям и нарушению обязательных требований, определение способов устранения или снижения рисков их возникновения;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- устранение причин, факторов и условий, способствующих возможному причинению вреда охраняемым законом ценностям и нарушению обязательных требований; 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- установление и оценка зависимости видов, форм и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интенсивности профилактических мероприятий от особенностей конкретных подконтрольных субъектов (объектов) и присвоенного им уровня риска (класс опасности), проведение профилактических мероприятий с учетом данных факторов;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определение перечня видов данных, сбор статистических данных, необходимых для организации профилактической работы по сокращению числа нарушений лицензионных требований в области заготовки, хранения, переработки и реализации лома черных металлов, цветных металлов;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увеличение публичности, понятности и открытости контрольной (надзорной) деятельности Министерства промышленности и энергетики Чеченской Республики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2023 год</w:t>
            </w:r>
          </w:p>
        </w:tc>
      </w:tr>
      <w:tr w:rsidR="00BF3866" w:rsidRPr="00BF3866" w:rsidTr="00BF3866">
        <w:tc>
          <w:tcPr>
            <w:tcW w:w="2689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654" w:type="dxa"/>
          </w:tcPr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снижение рисков нарушений обязательных лицензионных требований;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увеличение доли добросовестных подконтрольных субъектов;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развитие системы профилактических мероприятий;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обеспечение квалифицированной профилактической работы;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повышение прозрачности контрольно-надзорной деятельности;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повышение уровня правовой грамотности подконтрольных субъектов;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уменьшение административной нагрузки на подконтрольные субъекты;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- </w:t>
            </w:r>
            <w:r w:rsidRPr="00BF3866">
              <w:rPr>
                <w:rFonts w:ascii="Times New Roman" w:eastAsia="Times New Roman" w:hAnsi="Times New Roman"/>
                <w:sz w:val="28"/>
                <w:szCs w:val="28"/>
              </w:rPr>
              <w:t>обеспечение единообразия понимания предмета контроля подконтрольными субъектами;</w:t>
            </w:r>
          </w:p>
          <w:p w:rsidR="00BF3866" w:rsidRPr="00BF3866" w:rsidRDefault="00BF3866" w:rsidP="00BF3866">
            <w:pPr>
              <w:widowControl w:val="0"/>
              <w:tabs>
                <w:tab w:val="left" w:pos="457"/>
              </w:tabs>
              <w:autoSpaceDE w:val="0"/>
              <w:autoSpaceDN w:val="0"/>
              <w:ind w:firstLine="31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- мотивация подконтрольных субъектов к добросовестному поведению</w:t>
            </w:r>
          </w:p>
        </w:tc>
      </w:tr>
    </w:tbl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left="1080"/>
        <w:contextualSpacing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Раздел 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val="en-US" w:eastAsia="ru-RU"/>
        </w:rPr>
        <w:t>I</w:t>
      </w:r>
      <w:r w:rsidRPr="00BF3866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>. Анализ текущего состояния осуществления федерального государственного лицензионного контроля (надзора) за деятельностью по заготовке, хранению, переработке и реализации лома черных металлов, цветных металлов, описание текущего развития профилактической деятельности министерства, характеристика проблем, на решение которых направлена программа профилактики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Министерство осуществляет лицензионный контроль за заготовкой, хранением, переработкой и реализацией лома черных металлов, цветных металлов</w:t>
      </w: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Предметом лицензионного контроля по заготовке, хранению, переработке и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реализации лома черных металлов, цветных металлов является соблюдение юридическими лицами и индивидуальными предпринимателями, осуществляющими деятельность по заготовке, хранению, переработке и реализации лома черных металлов, цветных металлов лицензионных требований к осуществлению деятельности по заготовке, хранению, переработке и реализации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Министерство осуществляет лицензионный контроль за заготовкой, хранением, переработкой и реализацией лома черных металлов, цветных металлов в соответствии с Постановлением Правительства Российской Федерации 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отчуждения», Федеральным законом от 31.07.2020 № 248-ФЗ «О государственном контроле (надзоре) и муниципальном контроле в Российской Федерации» (далее – Федеральный закон № 248-ФЗ).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Обязательные требования, оценка соблюдения которых является предметом лицензионного контроля за деятельностью по заготовке, хранению, переработке и реализации лома черных металлов, цветных металлов установлены Постановлением Правительства Российской Федерации от 28 мая 2022 г. № 980 «О некоторых вопросах лицензирования деятельности по заготовке, хранению, переработке и реализации лома черных и цветных металлов, а также обращения с ломом и отходами черных и цветных металлов и их отчуждения».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Подконтрольными субъектами являются юридические лица и индивидуальные предприниматели, имеющие лицензии на заготовку, хранение, переработку и реализацию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 территории Чеченской Республики осуществляют деятельность 7 юридических лиц и 1 индивидуальный предприниматель, имеющих лицензию на заготовку, хранение, переработку и реализацию лома черных металлов, цветных металлов.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Постановление Правительства Российской Федерации № 336 от 10 марта 2022 года «Об особенностях организации и осуществления государственного контроля (надзора), муниципального контроля» ограничено проведение контрольных (надзорных) мероприятий в 2022 году.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Плановые проверки в 2022 году не проводились.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Основанием для назначения внеплановых проверок отсутствовали.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Жалоб на деятельность подконтрольных субъектов в сфере заготовки, хранения, переработки и реализации лома черных металлов, цветных металлов в 2022 году в Министерство не поступало.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Основанием для направления предостережений подконтрольным субъектам отсутствовали.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Наиболее значимыми риском нарушения лицензионных требований в сфере заготовки, хранения, переработки и реализации лома черных металлов, цветных металлов со стороны подконтрольных субъектов может относиться, риск причинения вреда жизни или здоровью граждан, загрязнения окружающей среды, объектам культурного наследия, а также угрозы чрезвычайных ситуаций природного и техногенного характера.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Профилактические мероприятия в отношении подконтрольных субъектов в   сфере заготовки, хранения, переработки и реализации лома черных металлов, цветных металлов осуществлялись путем информирования, консультирования.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Реализация профилактических мероприятий способствовала устранению причин, факторов и условий, способствующих возможному причинению вреда охраняемым законом ценностям и нарушению обязательных требований.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соответствии с приказом Министерства промышленности и энергетики Чеченской Республики от 05.05.2022 № 53-п перечень объектов федерального государственного лицензионного контроля (надзора) за деятельностью по заготовке, хранение, переработке и реализации лома черных металлов, цветных металлов отнесены к низкой категории риска причинения вреда (ущерба) охраняемым законом ценностям.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Таким образом в план проверок на 2023 год юридические лица и индивидуальные предприниматели получивших разрешение на осуществление деятельности по заготовке, хранение, переработке и реализации лома черных металлов, цветных металлов не включились.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Раздел 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Цели и задачи реализации программы профилактики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Целями проведения профилактической работы являются: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предупреждение нарушений обязательных требований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устранение существующих и потенциальных условий, причин, факторов, способных привести к нарушению обязательных требований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предотвращение рисков причинения вреда (ущерба) охраняемым законом ценностям;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Для достижения основных целей профилактической работы необходимо решение следующих задач: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оценка состояния подконтрольной среды;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регулярная ревизия обязательных требований, соблюдение которых составляет предмет государственного контроля в сфере заготовки, хранения, переработки и реализации лома черных металлов, цветных металлов;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Раздел 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val="en-US" w:eastAsia="ru-RU"/>
        </w:rPr>
        <w:t>III</w:t>
      </w: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. Перечень профилактических мероприятий, сроки (периодичность) их проведения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Министерством могут проводится следующие профилактические мероприятия: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информирование;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обобщение правоприменительной практики;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объявление предостережения;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консультирование;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профилактический визит.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Информирование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Информирование по вопросу лицензионного контроля осуществляется в порядке установленным Федеральным законом «О государственном контроле (надзоре) и муниципальном контроле в Российской Федерации».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Обобщение правоприменительной практики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Обобщение правоприменительной практики оформляется лицензирующим органом ежегодно в виде доклада, который утверждается руководителем либо заместителем руководителя лицензирующего органа и представляется в электронной форме посредством государственной автоматизированной информационной системой «Управление» до 1 марта года, следующего за отчетным. Доклад размещается на официальном сайте лицензирующего органа в информационно-телекоммуникационной сети «Интернет» в течении 15 дней со дня представления такого доклада посредством государственной автоматизированной информационной системы «Управление».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Объявление предостережения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случае наличия у лицензирующего органа сведений о готовящихся нарушений лицензионных требований или признаках нарушений лицензионных требований и (или) в случае отсутствия  подтвержденных данных о том, что нарушение лицензионных требований причинило вред (ущерб) охраняемым законом ценностям либо создало угрозу причинения вреда (ущерба) охраняемым законом ценностям, лицензирующий орган объявляет лицензиату предостережение о недопустимости нарушения лицензионных требований (далее-предостережение) и предлагает принять меры по обеспечению соблюдения лицензионных требований.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Решение о направлении предостережения принимает руководитель или заместитель руководителя лицензирующего органа, либо уполномоченное должностное приказом лицензирующего органа должностное лицо лицензирующего органа.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Утверждение и объявление предостережения осуществляется не позднее 5 дней со дня получения уполномоченным должностным лицом лицензирующего органа сведений, указанных в пункте 41 настоящего Положения.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 xml:space="preserve">Лицензиат вправе подать в течение 10 дней со дня получения предостережения в лицензирующий орган, направившийся предостережение, возражение, в котором указываются:  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а) наименование юридического лица либо фамилия, имя, отечество (при наличии) индивидуального предпринимателя, номер контактного телефона, адрес электронной почты (при наличии) и почтовый адрес, по которым должен быть направлен ответ;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б) дата и номер предостережения;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в) обоснование позиции в отношении указанных в предостережении действий (бездействия) лицензиата, которые приводят или могут привести к нарушению лицензионных требований.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Возражения могут направляться лицензиатом в лицензирующий орган: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а) в бумажном виде почтовым отправлением;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б) на указанный в предостережении адрес электронной почты лицензирующего органа в виде электронного документа, подписанного с использованием простой электронной подписи, ключ которой получен физическим лицом при личной явке в соответствии с порядком использования простой электронной подписи при обращении за получением государственных и муниципальных услуг в электронной форме, установленным Правительством Российской Федерации.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Лицензирующий орган по итогам рассмотрения возражения направляет лицензиату в течении 20 рабочих дней со дня получения возражений результаты рассмотрения возражений.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Консультирование</w:t>
      </w:r>
    </w:p>
    <w:p w:rsidR="00CE0183" w:rsidRPr="00BF3866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Должностные лица лицензирующего органа по обращениям лицензиатов осуществляет консультирование (дают разъяснения по вопросам, связанным с организацией и осуществлением лицензионного контроля).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Консультирование может осуществляться должностным лицом лицензирующего органа по телефону, посредством видео-конференц-связи, на личном приеме либо в ходе проведения профилактического мероприятия, контрольного (надзорного) мероприятия.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Консультирование, включая письменное консультирование, осуществляется по следующим вопросам: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разъяснение положений нормативных правовых актов, содержащих лицензионные требования, оценка соблюдения которых осуществляется в рамках лицензионного контроля;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периодичность и порядок проведения контрольных (надзорных) мероприятий;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порядок обжалования решений лицензирующего органа, действий (бездействий) должностных лиц лицензирующего органа;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- гарантии и защита прав лицензиатов.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</w:t>
      </w: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lastRenderedPageBreak/>
        <w:t>должностных лиц лицензирующих органов.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Консультирование по однотипным обращениям (5 и более) лицензиатов и их представителей может осуществляться посредством размещения на официальном сайте лицензирующих органов в информационно-телекоммуникационной сети «Интернет» письменных разъяснений, подписанных уполномоченным должностным лицом лицензирующего органа.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CE0183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Профилактический визит</w:t>
      </w:r>
    </w:p>
    <w:p w:rsidR="00CE0183" w:rsidRPr="00BF3866" w:rsidRDefault="00CE0183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Обязательные профилактические визиты проводятся в отношении лицензиатов, приступающих к осуществлению деятельности по заготовке, хранению, переработке и реализации лома черных металлов и (или) цветных металлов, а также в отношении объектов лицензионного контроля, отнесенных к категории высокого риска.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ходе обязательного профилактического визита лицензиат информируется о лицензионных требованиях, предъявляемых к его деятельности, а также о периодичности и содержании контрольных (надзорных) мероприятий, проводимых в отношении объектов лицензионного контроля различных категорий риска.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В ходе обязательного профилактического визита должностным лицом лицензирующего органа может осуществляться консультирование лицензиата в порядке, установленном статьей 50 Федерального закона «О государственном контроле (надзоре) и муниципальном контроле в Российской Федерации».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Лицензиат уведомляется о проведении обязательного профилактического визита не позднее чем за 5 рабочих дней со дня его проведения. Срок проведения обязательного профилактического визита не может превышать 1 рабочий день.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>Лицензиат вправе отказаться от проведения обязательного профилактического визита, уведомив об этом лицензирующий орган не позднее, чем за 3 рабочих дня до дня его проведения.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План-график проведения профилактических мероприятий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tbl>
      <w:tblPr>
        <w:tblStyle w:val="13"/>
        <w:tblW w:w="11384" w:type="dxa"/>
        <w:tblLook w:val="04A0" w:firstRow="1" w:lastRow="0" w:firstColumn="1" w:lastColumn="0" w:noHBand="0" w:noVBand="1"/>
      </w:tblPr>
      <w:tblGrid>
        <w:gridCol w:w="594"/>
        <w:gridCol w:w="2897"/>
        <w:gridCol w:w="2122"/>
        <w:gridCol w:w="3436"/>
        <w:gridCol w:w="2406"/>
      </w:tblGrid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№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п/п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Срок выполнения/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3252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Способ проведения мероприятия</w:t>
            </w:r>
          </w:p>
        </w:tc>
        <w:tc>
          <w:tcPr>
            <w:tcW w:w="2595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ind w:left="-285" w:right="-509" w:firstLine="427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Ответственные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ind w:left="-285" w:right="-509" w:firstLine="427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исполнители</w:t>
            </w:r>
          </w:p>
        </w:tc>
      </w:tr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1.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информирование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В течении 1 месяца после вступления в силу нормативно-правовых актов, а также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изменений в действующие нормативно-правовые акты, но не реже одного раза в год</w:t>
            </w:r>
          </w:p>
        </w:tc>
        <w:tc>
          <w:tcPr>
            <w:tcW w:w="3252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Информирование субъектов регионального государственного надзора по вопросам соблюдения обязательных требований осуществляется посредством размещения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соответствующих сведений на официальном сайте Министерства в информационно-телекоммуникационной сети «Интернет»                        (</w:t>
            </w:r>
            <w:hyperlink r:id="rId9" w:history="1"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http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://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minpromchr</w:t>
              </w:r>
              <w:proofErr w:type="spellEnd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.</w:t>
              </w:r>
              <w:proofErr w:type="spellStart"/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  <w:proofErr w:type="spellEnd"/>
            </w:hyperlink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) в средствах массой информации.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Информирование субъектов регионального государственного надзора по вопросам соблюдения обязательных требований осуществляется в соответствии со ст.46 Федерального закона № 248-ФЗ</w:t>
            </w:r>
          </w:p>
        </w:tc>
        <w:tc>
          <w:tcPr>
            <w:tcW w:w="2590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 xml:space="preserve">Отдел недропользования и контроля в сфере ТЭК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Департамента энергетики Министерства</w:t>
            </w:r>
          </w:p>
        </w:tc>
      </w:tr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2.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Консультирование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Постоянно </w:t>
            </w:r>
          </w:p>
        </w:tc>
        <w:tc>
          <w:tcPr>
            <w:tcW w:w="343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Консультирование подконтрольных субъектов осуществляется Министерством в соответствии со статьей 50 Федерального закона № 248-ФЗ в письменной форме при их письменном обращении, в устной форме по телефону, посредством видео-конференц-связи или на личном приеме, или в устной форме в ходе осуществления контрольного (надзорного) мероприятия </w:t>
            </w:r>
          </w:p>
        </w:tc>
        <w:tc>
          <w:tcPr>
            <w:tcW w:w="241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Отдел недропользования и контроля в сфере ТЭК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Департамента энергетики Министерства</w:t>
            </w:r>
          </w:p>
        </w:tc>
      </w:tr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3.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Профилактический визит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4 кв. 2023 года, при наличии оснований установленных п.4 ст.52 Федерального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закона № 248-ФЗ</w:t>
            </w:r>
          </w:p>
        </w:tc>
        <w:tc>
          <w:tcPr>
            <w:tcW w:w="343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Обязательные профилактические визиты проводятся Министерством в соответствии со статьей 52 Федерльного закона № 248-ФЗ.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Профилактический визит проводится Министерством в форме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профилактической беседы по месту осуществления контролируемого лица, либо путем использования видео-конференц-связи.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</w:t>
            </w:r>
          </w:p>
        </w:tc>
        <w:tc>
          <w:tcPr>
            <w:tcW w:w="241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Отдел недропользования и контроля в сфере ТЭК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Департамента энергетики </w:t>
            </w: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lastRenderedPageBreak/>
              <w:t>Министерства</w:t>
            </w:r>
          </w:p>
        </w:tc>
      </w:tr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4.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Обобщение правоприменительной практики 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 позднее 15 марта 2023 года</w:t>
            </w:r>
          </w:p>
        </w:tc>
        <w:tc>
          <w:tcPr>
            <w:tcW w:w="343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Размещение на официальном сайте Министерства в информационно-телекоммуникационной сети «Интернет»                        (</w:t>
            </w:r>
            <w:hyperlink r:id="rId10" w:history="1">
              <w:r w:rsidRPr="00BF3866">
                <w:rPr>
                  <w:rFonts w:ascii="Times New Roman" w:eastAsia="Times New Roman" w:hAnsi="Times New Roman"/>
                  <w:color w:val="0000FF"/>
                  <w:sz w:val="28"/>
                  <w:szCs w:val="28"/>
                  <w:u w:val="single"/>
                </w:rPr>
                <w:t>http://www.minpromchr.ru</w:t>
              </w:r>
            </w:hyperlink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) доклада за прошедший календарный день с указанием наиболее часто встречающихся нарушений обязательных требований и рекомендациями в отношении мер, которые должны принимать подконтрольными субъектами в целях недопущения таких нарушений </w:t>
            </w:r>
          </w:p>
        </w:tc>
        <w:tc>
          <w:tcPr>
            <w:tcW w:w="241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Отдел недропользования и контроля в сфере ТЭК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Департамента энергетики Министерства</w:t>
            </w:r>
          </w:p>
        </w:tc>
      </w:tr>
      <w:tr w:rsidR="00BF3866" w:rsidRPr="00BF3866" w:rsidTr="007E0042">
        <w:tc>
          <w:tcPr>
            <w:tcW w:w="594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5.</w:t>
            </w:r>
          </w:p>
        </w:tc>
        <w:tc>
          <w:tcPr>
            <w:tcW w:w="2897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Объявление предостережений</w:t>
            </w:r>
          </w:p>
        </w:tc>
        <w:tc>
          <w:tcPr>
            <w:tcW w:w="2041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Не позднее 3 рабочих дней со дня получения Министерством сведений, указанных в ч.1 ст.49 Федерального закона № 248-ФЗ</w:t>
            </w:r>
          </w:p>
        </w:tc>
        <w:tc>
          <w:tcPr>
            <w:tcW w:w="343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Выдача подконтрольным субъектам предостережений о недопустимости нарушения обязательных требований законодательства в сфере заготовки, хранения, переработки и реализации лома черных металлов, цветных металлов в порядке предусмотренном ст.21, ст.49 Федерального закона № 248-ФЗ</w:t>
            </w:r>
          </w:p>
        </w:tc>
        <w:tc>
          <w:tcPr>
            <w:tcW w:w="2416" w:type="dxa"/>
          </w:tcPr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 xml:space="preserve">Отдел недропользования и контроля в сфере ТЭК </w:t>
            </w:r>
          </w:p>
          <w:p w:rsidR="00BF3866" w:rsidRPr="00BF3866" w:rsidRDefault="00BF3866" w:rsidP="00BF3866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  <w:r w:rsidRPr="00BF3866"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  <w:t>Департамента энергетики Министерства</w:t>
            </w:r>
          </w:p>
        </w:tc>
      </w:tr>
    </w:tbl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numPr>
          <w:ilvl w:val="0"/>
          <w:numId w:val="19"/>
        </w:numPr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Показатели результативности и эффективности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left="142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критериями оценки результативности и эффективности Программы профилактики за 2023 год являются: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достижение доли охвата контролируемых лиц профилактическими мероприятиями к общему количеству подконтрольных субъектов (объектов) к концу 2023 года не менее 50%;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86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улучшение информационного обеспечения по предупреждению нарушений обязательных требований контролируемыми лицами.</w:t>
      </w: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Pr="00BF3866" w:rsidRDefault="00BF3866" w:rsidP="00BF386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BF3866" w:rsidRDefault="00BF3866" w:rsidP="00E11A2B">
      <w:pPr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sectPr w:rsidR="00BF3866" w:rsidSect="00CE0183">
      <w:headerReference w:type="default" r:id="rId11"/>
      <w:pgSz w:w="11905" w:h="16837"/>
      <w:pgMar w:top="1134" w:right="567" w:bottom="1134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8F3" w:rsidRDefault="005F28F3" w:rsidP="00296511">
      <w:pPr>
        <w:spacing w:after="0" w:line="240" w:lineRule="auto"/>
      </w:pPr>
      <w:r>
        <w:separator/>
      </w:r>
    </w:p>
  </w:endnote>
  <w:endnote w:type="continuationSeparator" w:id="0">
    <w:p w:rsidR="005F28F3" w:rsidRDefault="005F28F3" w:rsidP="00296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8F3" w:rsidRDefault="005F28F3" w:rsidP="00296511">
      <w:pPr>
        <w:spacing w:after="0" w:line="240" w:lineRule="auto"/>
      </w:pPr>
      <w:r>
        <w:separator/>
      </w:r>
    </w:p>
  </w:footnote>
  <w:footnote w:type="continuationSeparator" w:id="0">
    <w:p w:rsidR="005F28F3" w:rsidRDefault="005F28F3" w:rsidP="00296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6C1D" w:rsidRDefault="00906C1D">
    <w:pPr>
      <w:pStyle w:val="af1"/>
      <w:jc w:val="center"/>
    </w:pPr>
  </w:p>
  <w:p w:rsidR="00906C1D" w:rsidRDefault="00906C1D">
    <w:pPr>
      <w:pStyle w:val="af1"/>
      <w:jc w:val="center"/>
    </w:pPr>
  </w:p>
  <w:p w:rsidR="00906C1D" w:rsidRDefault="00906C1D">
    <w:pPr>
      <w:pStyle w:val="af1"/>
      <w:jc w:val="center"/>
    </w:pPr>
  </w:p>
  <w:p w:rsidR="00906C1D" w:rsidRDefault="00906C1D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8507D"/>
    <w:multiLevelType w:val="hybridMultilevel"/>
    <w:tmpl w:val="0A4EC798"/>
    <w:lvl w:ilvl="0" w:tplc="E6C01208">
      <w:start w:val="1"/>
      <w:numFmt w:val="russianLower"/>
      <w:lvlText w:val="%1)"/>
      <w:lvlJc w:val="left"/>
      <w:pPr>
        <w:ind w:left="2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0" w:hanging="360"/>
      </w:pPr>
    </w:lvl>
    <w:lvl w:ilvl="2" w:tplc="0419001B" w:tentative="1">
      <w:start w:val="1"/>
      <w:numFmt w:val="lowerRoman"/>
      <w:lvlText w:val="%3."/>
      <w:lvlJc w:val="right"/>
      <w:pPr>
        <w:ind w:left="3590" w:hanging="180"/>
      </w:pPr>
    </w:lvl>
    <w:lvl w:ilvl="3" w:tplc="0419000F" w:tentative="1">
      <w:start w:val="1"/>
      <w:numFmt w:val="decimal"/>
      <w:lvlText w:val="%4."/>
      <w:lvlJc w:val="left"/>
      <w:pPr>
        <w:ind w:left="4310" w:hanging="360"/>
      </w:pPr>
    </w:lvl>
    <w:lvl w:ilvl="4" w:tplc="04190019" w:tentative="1">
      <w:start w:val="1"/>
      <w:numFmt w:val="lowerLetter"/>
      <w:lvlText w:val="%5."/>
      <w:lvlJc w:val="left"/>
      <w:pPr>
        <w:ind w:left="5030" w:hanging="360"/>
      </w:pPr>
    </w:lvl>
    <w:lvl w:ilvl="5" w:tplc="0419001B" w:tentative="1">
      <w:start w:val="1"/>
      <w:numFmt w:val="lowerRoman"/>
      <w:lvlText w:val="%6."/>
      <w:lvlJc w:val="right"/>
      <w:pPr>
        <w:ind w:left="5750" w:hanging="180"/>
      </w:pPr>
    </w:lvl>
    <w:lvl w:ilvl="6" w:tplc="0419000F" w:tentative="1">
      <w:start w:val="1"/>
      <w:numFmt w:val="decimal"/>
      <w:lvlText w:val="%7."/>
      <w:lvlJc w:val="left"/>
      <w:pPr>
        <w:ind w:left="6470" w:hanging="360"/>
      </w:pPr>
    </w:lvl>
    <w:lvl w:ilvl="7" w:tplc="04190019" w:tentative="1">
      <w:start w:val="1"/>
      <w:numFmt w:val="lowerLetter"/>
      <w:lvlText w:val="%8."/>
      <w:lvlJc w:val="left"/>
      <w:pPr>
        <w:ind w:left="7190" w:hanging="360"/>
      </w:pPr>
    </w:lvl>
    <w:lvl w:ilvl="8" w:tplc="041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" w15:restartNumberingAfterBreak="0">
    <w:nsid w:val="0B6A0221"/>
    <w:multiLevelType w:val="hybridMultilevel"/>
    <w:tmpl w:val="081A2D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5316"/>
    <w:multiLevelType w:val="hybridMultilevel"/>
    <w:tmpl w:val="7B1EB41E"/>
    <w:lvl w:ilvl="0" w:tplc="3C4A605E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0CCA"/>
    <w:multiLevelType w:val="hybridMultilevel"/>
    <w:tmpl w:val="ACFA8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721AF"/>
    <w:multiLevelType w:val="hybridMultilevel"/>
    <w:tmpl w:val="E904DB1C"/>
    <w:lvl w:ilvl="0" w:tplc="FBCA19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E36BA5"/>
    <w:multiLevelType w:val="multilevel"/>
    <w:tmpl w:val="D26029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E65D09"/>
    <w:multiLevelType w:val="hybridMultilevel"/>
    <w:tmpl w:val="C212AF7E"/>
    <w:lvl w:ilvl="0" w:tplc="D53AA4EE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313A477C"/>
    <w:multiLevelType w:val="multilevel"/>
    <w:tmpl w:val="379CCF5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81B1546"/>
    <w:multiLevelType w:val="hybridMultilevel"/>
    <w:tmpl w:val="519C4F3E"/>
    <w:lvl w:ilvl="0" w:tplc="C2BC4A4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 w15:restartNumberingAfterBreak="0">
    <w:nsid w:val="4F593C4C"/>
    <w:multiLevelType w:val="hybridMultilevel"/>
    <w:tmpl w:val="2C54184C"/>
    <w:lvl w:ilvl="0" w:tplc="741E37C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566358E3"/>
    <w:multiLevelType w:val="multilevel"/>
    <w:tmpl w:val="8D547C5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C62BFE"/>
    <w:multiLevelType w:val="hybridMultilevel"/>
    <w:tmpl w:val="EC88E3F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68F26B8F"/>
    <w:multiLevelType w:val="hybridMultilevel"/>
    <w:tmpl w:val="5B76176A"/>
    <w:lvl w:ilvl="0" w:tplc="2A0C81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3E4359"/>
    <w:multiLevelType w:val="multilevel"/>
    <w:tmpl w:val="405EE4C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6F8164DC"/>
    <w:multiLevelType w:val="multilevel"/>
    <w:tmpl w:val="BD76F4F6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5" w15:restartNumberingAfterBreak="0">
    <w:nsid w:val="728223CA"/>
    <w:multiLevelType w:val="hybridMultilevel"/>
    <w:tmpl w:val="352A0EF0"/>
    <w:lvl w:ilvl="0" w:tplc="6C50A076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6" w15:restartNumberingAfterBreak="0">
    <w:nsid w:val="77455694"/>
    <w:multiLevelType w:val="hybridMultilevel"/>
    <w:tmpl w:val="D2AC9962"/>
    <w:lvl w:ilvl="0" w:tplc="43408056">
      <w:start w:val="3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362A85"/>
    <w:multiLevelType w:val="multilevel"/>
    <w:tmpl w:val="EAA66A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EF831EE"/>
    <w:multiLevelType w:val="hybridMultilevel"/>
    <w:tmpl w:val="51BAAEC2"/>
    <w:lvl w:ilvl="0" w:tplc="60F4F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7"/>
  </w:num>
  <w:num w:numId="4">
    <w:abstractNumId w:val="10"/>
  </w:num>
  <w:num w:numId="5">
    <w:abstractNumId w:val="17"/>
  </w:num>
  <w:num w:numId="6">
    <w:abstractNumId w:val="8"/>
  </w:num>
  <w:num w:numId="7">
    <w:abstractNumId w:val="14"/>
  </w:num>
  <w:num w:numId="8">
    <w:abstractNumId w:val="3"/>
  </w:num>
  <w:num w:numId="9">
    <w:abstractNumId w:val="1"/>
  </w:num>
  <w:num w:numId="10">
    <w:abstractNumId w:val="6"/>
  </w:num>
  <w:num w:numId="11">
    <w:abstractNumId w:val="9"/>
  </w:num>
  <w:num w:numId="12">
    <w:abstractNumId w:val="15"/>
  </w:num>
  <w:num w:numId="13">
    <w:abstractNumId w:val="18"/>
  </w:num>
  <w:num w:numId="14">
    <w:abstractNumId w:val="4"/>
  </w:num>
  <w:num w:numId="15">
    <w:abstractNumId w:val="13"/>
  </w:num>
  <w:num w:numId="16">
    <w:abstractNumId w:val="16"/>
  </w:num>
  <w:num w:numId="17">
    <w:abstractNumId w:val="11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B54"/>
    <w:rsid w:val="00001A5F"/>
    <w:rsid w:val="00007F26"/>
    <w:rsid w:val="0001371E"/>
    <w:rsid w:val="0001785A"/>
    <w:rsid w:val="0002204E"/>
    <w:rsid w:val="00026725"/>
    <w:rsid w:val="00027FB5"/>
    <w:rsid w:val="000428E8"/>
    <w:rsid w:val="0004573C"/>
    <w:rsid w:val="000510F4"/>
    <w:rsid w:val="000541D5"/>
    <w:rsid w:val="000564B5"/>
    <w:rsid w:val="00063516"/>
    <w:rsid w:val="00063DDE"/>
    <w:rsid w:val="00065E2F"/>
    <w:rsid w:val="00066360"/>
    <w:rsid w:val="00075147"/>
    <w:rsid w:val="000823A2"/>
    <w:rsid w:val="00085C6F"/>
    <w:rsid w:val="00090363"/>
    <w:rsid w:val="00090980"/>
    <w:rsid w:val="000921D1"/>
    <w:rsid w:val="0009242A"/>
    <w:rsid w:val="00095145"/>
    <w:rsid w:val="00095C07"/>
    <w:rsid w:val="00097D93"/>
    <w:rsid w:val="000A3C06"/>
    <w:rsid w:val="000A6DB3"/>
    <w:rsid w:val="000C01A7"/>
    <w:rsid w:val="000C54B1"/>
    <w:rsid w:val="000C6974"/>
    <w:rsid w:val="000C6B6C"/>
    <w:rsid w:val="000C7308"/>
    <w:rsid w:val="000C7F0B"/>
    <w:rsid w:val="000D225D"/>
    <w:rsid w:val="000D4E1A"/>
    <w:rsid w:val="000D53E4"/>
    <w:rsid w:val="000D6606"/>
    <w:rsid w:val="00101E6D"/>
    <w:rsid w:val="00103835"/>
    <w:rsid w:val="00103944"/>
    <w:rsid w:val="00104429"/>
    <w:rsid w:val="001226C3"/>
    <w:rsid w:val="00125F26"/>
    <w:rsid w:val="00146820"/>
    <w:rsid w:val="001473B4"/>
    <w:rsid w:val="001541FD"/>
    <w:rsid w:val="00170F90"/>
    <w:rsid w:val="00176D1C"/>
    <w:rsid w:val="00177053"/>
    <w:rsid w:val="00177EED"/>
    <w:rsid w:val="00180046"/>
    <w:rsid w:val="00186708"/>
    <w:rsid w:val="00195C62"/>
    <w:rsid w:val="001A4702"/>
    <w:rsid w:val="001B5C47"/>
    <w:rsid w:val="001D487C"/>
    <w:rsid w:val="001D6484"/>
    <w:rsid w:val="001E161B"/>
    <w:rsid w:val="001E51E6"/>
    <w:rsid w:val="001F6817"/>
    <w:rsid w:val="00203DE1"/>
    <w:rsid w:val="00206F1B"/>
    <w:rsid w:val="00211D6E"/>
    <w:rsid w:val="00214319"/>
    <w:rsid w:val="002144EB"/>
    <w:rsid w:val="00217D65"/>
    <w:rsid w:val="0022605C"/>
    <w:rsid w:val="00226534"/>
    <w:rsid w:val="00230062"/>
    <w:rsid w:val="00234326"/>
    <w:rsid w:val="00234680"/>
    <w:rsid w:val="002346B8"/>
    <w:rsid w:val="00235268"/>
    <w:rsid w:val="0023627A"/>
    <w:rsid w:val="00236431"/>
    <w:rsid w:val="00241AA1"/>
    <w:rsid w:val="00242939"/>
    <w:rsid w:val="0025259E"/>
    <w:rsid w:val="002541F4"/>
    <w:rsid w:val="00261FB5"/>
    <w:rsid w:val="00262A4A"/>
    <w:rsid w:val="0026326C"/>
    <w:rsid w:val="0026393F"/>
    <w:rsid w:val="0027058B"/>
    <w:rsid w:val="00273E30"/>
    <w:rsid w:val="0027455E"/>
    <w:rsid w:val="00277EF5"/>
    <w:rsid w:val="00291137"/>
    <w:rsid w:val="00294E01"/>
    <w:rsid w:val="00296511"/>
    <w:rsid w:val="002A2A96"/>
    <w:rsid w:val="002A6937"/>
    <w:rsid w:val="002B20B1"/>
    <w:rsid w:val="002D1A8F"/>
    <w:rsid w:val="002D4C44"/>
    <w:rsid w:val="002D59C8"/>
    <w:rsid w:val="002E071D"/>
    <w:rsid w:val="002E0FD2"/>
    <w:rsid w:val="002E33D9"/>
    <w:rsid w:val="002E713B"/>
    <w:rsid w:val="002F56BB"/>
    <w:rsid w:val="002F73D2"/>
    <w:rsid w:val="002F75A7"/>
    <w:rsid w:val="00304D2C"/>
    <w:rsid w:val="003243F5"/>
    <w:rsid w:val="00324EFA"/>
    <w:rsid w:val="00332773"/>
    <w:rsid w:val="003459D1"/>
    <w:rsid w:val="00345DD9"/>
    <w:rsid w:val="003647EC"/>
    <w:rsid w:val="003738C9"/>
    <w:rsid w:val="00373FF6"/>
    <w:rsid w:val="00377BDC"/>
    <w:rsid w:val="003836AB"/>
    <w:rsid w:val="00384E2F"/>
    <w:rsid w:val="003969E1"/>
    <w:rsid w:val="003A1FB6"/>
    <w:rsid w:val="003B08DB"/>
    <w:rsid w:val="003B2AA5"/>
    <w:rsid w:val="003C5EC3"/>
    <w:rsid w:val="003C6DDA"/>
    <w:rsid w:val="003F14AD"/>
    <w:rsid w:val="003F27F1"/>
    <w:rsid w:val="003F590E"/>
    <w:rsid w:val="003F658B"/>
    <w:rsid w:val="00404D65"/>
    <w:rsid w:val="004227DC"/>
    <w:rsid w:val="0042289E"/>
    <w:rsid w:val="004235CE"/>
    <w:rsid w:val="00423A79"/>
    <w:rsid w:val="00424397"/>
    <w:rsid w:val="00441C73"/>
    <w:rsid w:val="004477C6"/>
    <w:rsid w:val="00450193"/>
    <w:rsid w:val="00450711"/>
    <w:rsid w:val="00450916"/>
    <w:rsid w:val="00456584"/>
    <w:rsid w:val="00480B69"/>
    <w:rsid w:val="00490A2D"/>
    <w:rsid w:val="00492AD2"/>
    <w:rsid w:val="00494AD1"/>
    <w:rsid w:val="004A772D"/>
    <w:rsid w:val="004B324D"/>
    <w:rsid w:val="004B3DB4"/>
    <w:rsid w:val="004C4383"/>
    <w:rsid w:val="004C5D10"/>
    <w:rsid w:val="004E121A"/>
    <w:rsid w:val="004E2F39"/>
    <w:rsid w:val="004F1A49"/>
    <w:rsid w:val="004F4D72"/>
    <w:rsid w:val="004F7511"/>
    <w:rsid w:val="005021BE"/>
    <w:rsid w:val="00503246"/>
    <w:rsid w:val="00504682"/>
    <w:rsid w:val="005151A2"/>
    <w:rsid w:val="005159D5"/>
    <w:rsid w:val="00541178"/>
    <w:rsid w:val="005450E5"/>
    <w:rsid w:val="00555067"/>
    <w:rsid w:val="00560504"/>
    <w:rsid w:val="0057567B"/>
    <w:rsid w:val="005830E1"/>
    <w:rsid w:val="0058674B"/>
    <w:rsid w:val="0059033B"/>
    <w:rsid w:val="00590452"/>
    <w:rsid w:val="0059478B"/>
    <w:rsid w:val="005B1D42"/>
    <w:rsid w:val="005B2709"/>
    <w:rsid w:val="005B4E29"/>
    <w:rsid w:val="005C4606"/>
    <w:rsid w:val="005C615E"/>
    <w:rsid w:val="005D7811"/>
    <w:rsid w:val="005E02A8"/>
    <w:rsid w:val="005E10CD"/>
    <w:rsid w:val="005E5CF2"/>
    <w:rsid w:val="005E6D4A"/>
    <w:rsid w:val="005E7685"/>
    <w:rsid w:val="005F28F3"/>
    <w:rsid w:val="005F715E"/>
    <w:rsid w:val="00602D36"/>
    <w:rsid w:val="006032FC"/>
    <w:rsid w:val="00604DA1"/>
    <w:rsid w:val="0060503D"/>
    <w:rsid w:val="00615CE2"/>
    <w:rsid w:val="00646DDC"/>
    <w:rsid w:val="0064791C"/>
    <w:rsid w:val="006506DA"/>
    <w:rsid w:val="00656965"/>
    <w:rsid w:val="00660ADB"/>
    <w:rsid w:val="00661D9E"/>
    <w:rsid w:val="00675940"/>
    <w:rsid w:val="0068083D"/>
    <w:rsid w:val="00693343"/>
    <w:rsid w:val="00694292"/>
    <w:rsid w:val="00694419"/>
    <w:rsid w:val="006B52DA"/>
    <w:rsid w:val="006B603C"/>
    <w:rsid w:val="006C1312"/>
    <w:rsid w:val="006C714A"/>
    <w:rsid w:val="006D31F7"/>
    <w:rsid w:val="006F20D2"/>
    <w:rsid w:val="006F2166"/>
    <w:rsid w:val="006F25F4"/>
    <w:rsid w:val="0070343A"/>
    <w:rsid w:val="00704338"/>
    <w:rsid w:val="00704C09"/>
    <w:rsid w:val="007074FC"/>
    <w:rsid w:val="00714167"/>
    <w:rsid w:val="007230D0"/>
    <w:rsid w:val="0073495E"/>
    <w:rsid w:val="007456BB"/>
    <w:rsid w:val="007528D7"/>
    <w:rsid w:val="00754E42"/>
    <w:rsid w:val="00760B54"/>
    <w:rsid w:val="00771720"/>
    <w:rsid w:val="007821CA"/>
    <w:rsid w:val="00784775"/>
    <w:rsid w:val="00785F60"/>
    <w:rsid w:val="00787522"/>
    <w:rsid w:val="007900DD"/>
    <w:rsid w:val="0079063F"/>
    <w:rsid w:val="00791CA4"/>
    <w:rsid w:val="00792CD8"/>
    <w:rsid w:val="0079406A"/>
    <w:rsid w:val="0079533D"/>
    <w:rsid w:val="007A56EE"/>
    <w:rsid w:val="007A6045"/>
    <w:rsid w:val="007B1147"/>
    <w:rsid w:val="007B285A"/>
    <w:rsid w:val="007B5C7C"/>
    <w:rsid w:val="007C2B4B"/>
    <w:rsid w:val="007C4D62"/>
    <w:rsid w:val="007D2B23"/>
    <w:rsid w:val="007D7BB9"/>
    <w:rsid w:val="007E609C"/>
    <w:rsid w:val="007F41BE"/>
    <w:rsid w:val="0080096E"/>
    <w:rsid w:val="00810A8D"/>
    <w:rsid w:val="008150C0"/>
    <w:rsid w:val="00820C0A"/>
    <w:rsid w:val="00822AA1"/>
    <w:rsid w:val="0082690C"/>
    <w:rsid w:val="00834019"/>
    <w:rsid w:val="008425E0"/>
    <w:rsid w:val="00847BCB"/>
    <w:rsid w:val="00857031"/>
    <w:rsid w:val="00857505"/>
    <w:rsid w:val="0085781B"/>
    <w:rsid w:val="00866338"/>
    <w:rsid w:val="008670A6"/>
    <w:rsid w:val="00871C1D"/>
    <w:rsid w:val="00874054"/>
    <w:rsid w:val="0088422D"/>
    <w:rsid w:val="008961F1"/>
    <w:rsid w:val="00896463"/>
    <w:rsid w:val="008A1061"/>
    <w:rsid w:val="008A1F6F"/>
    <w:rsid w:val="008A201E"/>
    <w:rsid w:val="008B3908"/>
    <w:rsid w:val="008C41FB"/>
    <w:rsid w:val="008C5B22"/>
    <w:rsid w:val="008C6828"/>
    <w:rsid w:val="008D2F78"/>
    <w:rsid w:val="008D6ED0"/>
    <w:rsid w:val="008F45C5"/>
    <w:rsid w:val="00903C97"/>
    <w:rsid w:val="00905360"/>
    <w:rsid w:val="00906C1D"/>
    <w:rsid w:val="00914370"/>
    <w:rsid w:val="0091500A"/>
    <w:rsid w:val="0091694A"/>
    <w:rsid w:val="00916BCD"/>
    <w:rsid w:val="00922AF7"/>
    <w:rsid w:val="0092782E"/>
    <w:rsid w:val="00940204"/>
    <w:rsid w:val="0094306A"/>
    <w:rsid w:val="009465D8"/>
    <w:rsid w:val="009500E5"/>
    <w:rsid w:val="00955971"/>
    <w:rsid w:val="009642FF"/>
    <w:rsid w:val="0098713F"/>
    <w:rsid w:val="00990624"/>
    <w:rsid w:val="009953DC"/>
    <w:rsid w:val="00996685"/>
    <w:rsid w:val="009A27F6"/>
    <w:rsid w:val="009C0BBA"/>
    <w:rsid w:val="009C32E4"/>
    <w:rsid w:val="009C34A9"/>
    <w:rsid w:val="009D3C45"/>
    <w:rsid w:val="009D6BCE"/>
    <w:rsid w:val="009D713F"/>
    <w:rsid w:val="009E20F6"/>
    <w:rsid w:val="009E37BE"/>
    <w:rsid w:val="009F5BCC"/>
    <w:rsid w:val="00A03B72"/>
    <w:rsid w:val="00A0794C"/>
    <w:rsid w:val="00A142EF"/>
    <w:rsid w:val="00A1766F"/>
    <w:rsid w:val="00A20F40"/>
    <w:rsid w:val="00A24288"/>
    <w:rsid w:val="00A24D56"/>
    <w:rsid w:val="00A2798B"/>
    <w:rsid w:val="00A27DC1"/>
    <w:rsid w:val="00A33657"/>
    <w:rsid w:val="00A34BA8"/>
    <w:rsid w:val="00A40EB7"/>
    <w:rsid w:val="00A503F9"/>
    <w:rsid w:val="00A53C57"/>
    <w:rsid w:val="00A616AA"/>
    <w:rsid w:val="00A65B30"/>
    <w:rsid w:val="00A65E95"/>
    <w:rsid w:val="00A80C86"/>
    <w:rsid w:val="00AA637E"/>
    <w:rsid w:val="00AA7980"/>
    <w:rsid w:val="00AA7FA2"/>
    <w:rsid w:val="00AC7366"/>
    <w:rsid w:val="00AD3827"/>
    <w:rsid w:val="00AD75F5"/>
    <w:rsid w:val="00AE3CA3"/>
    <w:rsid w:val="00AF203E"/>
    <w:rsid w:val="00AF3BC5"/>
    <w:rsid w:val="00AF7DAA"/>
    <w:rsid w:val="00B063BE"/>
    <w:rsid w:val="00B157AD"/>
    <w:rsid w:val="00B15E0F"/>
    <w:rsid w:val="00B3702C"/>
    <w:rsid w:val="00B40E8A"/>
    <w:rsid w:val="00B441E9"/>
    <w:rsid w:val="00B4435B"/>
    <w:rsid w:val="00B45F7C"/>
    <w:rsid w:val="00B60DE6"/>
    <w:rsid w:val="00B779E0"/>
    <w:rsid w:val="00B83B54"/>
    <w:rsid w:val="00B84A55"/>
    <w:rsid w:val="00B84DC8"/>
    <w:rsid w:val="00B95014"/>
    <w:rsid w:val="00BA2AAA"/>
    <w:rsid w:val="00BA6AB2"/>
    <w:rsid w:val="00BB446A"/>
    <w:rsid w:val="00BB5A68"/>
    <w:rsid w:val="00BC12C9"/>
    <w:rsid w:val="00BD7A62"/>
    <w:rsid w:val="00BF3866"/>
    <w:rsid w:val="00BF4FEA"/>
    <w:rsid w:val="00C11152"/>
    <w:rsid w:val="00C122A7"/>
    <w:rsid w:val="00C17387"/>
    <w:rsid w:val="00C178F5"/>
    <w:rsid w:val="00C322C5"/>
    <w:rsid w:val="00C326B4"/>
    <w:rsid w:val="00C34DF1"/>
    <w:rsid w:val="00C34E6F"/>
    <w:rsid w:val="00C40550"/>
    <w:rsid w:val="00C44447"/>
    <w:rsid w:val="00C466DE"/>
    <w:rsid w:val="00C85618"/>
    <w:rsid w:val="00C9480A"/>
    <w:rsid w:val="00CA1B94"/>
    <w:rsid w:val="00CA58D3"/>
    <w:rsid w:val="00CC38AD"/>
    <w:rsid w:val="00CC4AEC"/>
    <w:rsid w:val="00CC51D9"/>
    <w:rsid w:val="00CC55CB"/>
    <w:rsid w:val="00CE0183"/>
    <w:rsid w:val="00CE7DCB"/>
    <w:rsid w:val="00CF33F6"/>
    <w:rsid w:val="00D0186A"/>
    <w:rsid w:val="00D03CA4"/>
    <w:rsid w:val="00D07E13"/>
    <w:rsid w:val="00D12F5D"/>
    <w:rsid w:val="00D14B2E"/>
    <w:rsid w:val="00D25F00"/>
    <w:rsid w:val="00D406E0"/>
    <w:rsid w:val="00D41C57"/>
    <w:rsid w:val="00D718FF"/>
    <w:rsid w:val="00D75D72"/>
    <w:rsid w:val="00D8010D"/>
    <w:rsid w:val="00D87436"/>
    <w:rsid w:val="00D927AC"/>
    <w:rsid w:val="00D94A08"/>
    <w:rsid w:val="00DC025E"/>
    <w:rsid w:val="00DC32C1"/>
    <w:rsid w:val="00DC4944"/>
    <w:rsid w:val="00DC7863"/>
    <w:rsid w:val="00DD4169"/>
    <w:rsid w:val="00DE4E0A"/>
    <w:rsid w:val="00DF3426"/>
    <w:rsid w:val="00E0030A"/>
    <w:rsid w:val="00E03FDC"/>
    <w:rsid w:val="00E11A2B"/>
    <w:rsid w:val="00E135EB"/>
    <w:rsid w:val="00E23739"/>
    <w:rsid w:val="00E2663E"/>
    <w:rsid w:val="00E274EC"/>
    <w:rsid w:val="00E46073"/>
    <w:rsid w:val="00E51ECB"/>
    <w:rsid w:val="00E52423"/>
    <w:rsid w:val="00E77C18"/>
    <w:rsid w:val="00E944E6"/>
    <w:rsid w:val="00E96FE8"/>
    <w:rsid w:val="00E97537"/>
    <w:rsid w:val="00EA38DD"/>
    <w:rsid w:val="00EB4119"/>
    <w:rsid w:val="00EB556D"/>
    <w:rsid w:val="00EC0247"/>
    <w:rsid w:val="00EC060B"/>
    <w:rsid w:val="00EC6DE9"/>
    <w:rsid w:val="00EE2D7B"/>
    <w:rsid w:val="00EE51ED"/>
    <w:rsid w:val="00EE52CE"/>
    <w:rsid w:val="00EF1D1F"/>
    <w:rsid w:val="00F02438"/>
    <w:rsid w:val="00F05DE2"/>
    <w:rsid w:val="00F07F11"/>
    <w:rsid w:val="00F34ABD"/>
    <w:rsid w:val="00F37B15"/>
    <w:rsid w:val="00F6673F"/>
    <w:rsid w:val="00F66E4D"/>
    <w:rsid w:val="00F674E6"/>
    <w:rsid w:val="00F72EDB"/>
    <w:rsid w:val="00F82949"/>
    <w:rsid w:val="00F84FF4"/>
    <w:rsid w:val="00F86E58"/>
    <w:rsid w:val="00F91590"/>
    <w:rsid w:val="00FA5B95"/>
    <w:rsid w:val="00FA5E58"/>
    <w:rsid w:val="00FC0A91"/>
    <w:rsid w:val="00FC26EF"/>
    <w:rsid w:val="00FD078B"/>
    <w:rsid w:val="00FD10D0"/>
    <w:rsid w:val="00FD343A"/>
    <w:rsid w:val="00FE3CAB"/>
    <w:rsid w:val="00FF7083"/>
    <w:rsid w:val="00FF7E59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5FD3B"/>
  <w15:docId w15:val="{59F192F6-90BA-46AA-8E6B-A97A57119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C6828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C6828"/>
    <w:rPr>
      <w:rFonts w:ascii="Bookman Old Style" w:eastAsia="Times New Roman" w:hAnsi="Bookman Old Style" w:cs="Times New Roman"/>
      <w:b/>
      <w:sz w:val="36"/>
      <w:szCs w:val="20"/>
      <w:lang w:eastAsia="ru-RU"/>
    </w:rPr>
  </w:style>
  <w:style w:type="table" w:styleId="a5">
    <w:name w:val="Table Grid"/>
    <w:basedOn w:val="a1"/>
    <w:rsid w:val="008C6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F751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4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2438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basedOn w:val="a0"/>
    <w:link w:val="10"/>
    <w:rsid w:val="002D59C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2D59C8"/>
    <w:pPr>
      <w:shd w:val="clear" w:color="auto" w:fill="FFFFFF"/>
      <w:spacing w:before="60" w:after="300" w:line="32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3pt">
    <w:name w:val="Основной текст + Интервал 3 pt"/>
    <w:basedOn w:val="a0"/>
    <w:rsid w:val="002D59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</w:rPr>
  </w:style>
  <w:style w:type="character" w:styleId="a9">
    <w:name w:val="Hyperlink"/>
    <w:basedOn w:val="a0"/>
    <w:rsid w:val="00DC7863"/>
    <w:rPr>
      <w:color w:val="0066CC"/>
      <w:u w:val="single"/>
    </w:rPr>
  </w:style>
  <w:style w:type="character" w:customStyle="1" w:styleId="aa">
    <w:name w:val="Основной текст_"/>
    <w:basedOn w:val="a0"/>
    <w:link w:val="14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a"/>
    <w:rsid w:val="00DC7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4"/>
    <w:basedOn w:val="a"/>
    <w:link w:val="aa"/>
    <w:rsid w:val="00DC7863"/>
    <w:pPr>
      <w:shd w:val="clear" w:color="auto" w:fill="FFFFFF"/>
      <w:spacing w:before="300" w:after="60" w:line="317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footnote text"/>
    <w:basedOn w:val="a"/>
    <w:link w:val="ac"/>
    <w:uiPriority w:val="99"/>
    <w:semiHidden/>
    <w:unhideWhenUsed/>
    <w:rsid w:val="0029651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96511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296511"/>
    <w:rPr>
      <w:vertAlign w:val="superscript"/>
    </w:rPr>
  </w:style>
  <w:style w:type="paragraph" w:customStyle="1" w:styleId="ae">
    <w:name w:val="Базовый"/>
    <w:uiPriority w:val="99"/>
    <w:rsid w:val="007528D7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">
    <w:name w:val="Body Text"/>
    <w:basedOn w:val="ae"/>
    <w:link w:val="af0"/>
    <w:uiPriority w:val="99"/>
    <w:unhideWhenUsed/>
    <w:rsid w:val="007528D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7528D7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97537"/>
  </w:style>
  <w:style w:type="paragraph" w:styleId="af3">
    <w:name w:val="footer"/>
    <w:basedOn w:val="a"/>
    <w:link w:val="af4"/>
    <w:uiPriority w:val="99"/>
    <w:unhideWhenUsed/>
    <w:rsid w:val="00E975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97537"/>
  </w:style>
  <w:style w:type="character" w:customStyle="1" w:styleId="12">
    <w:name w:val="Основной текст Знак1"/>
    <w:uiPriority w:val="99"/>
    <w:rsid w:val="00195C62"/>
    <w:rPr>
      <w:sz w:val="26"/>
      <w:szCs w:val="26"/>
      <w:shd w:val="clear" w:color="auto" w:fill="FFFFFF"/>
    </w:rPr>
  </w:style>
  <w:style w:type="paragraph" w:customStyle="1" w:styleId="ConsPlusNormal">
    <w:name w:val="ConsPlusNormal"/>
    <w:rsid w:val="007456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Заголовок №2_"/>
    <w:link w:val="20"/>
    <w:uiPriority w:val="99"/>
    <w:rsid w:val="00345DD9"/>
    <w:rPr>
      <w:b/>
      <w:bCs/>
      <w:spacing w:val="10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345DD9"/>
    <w:pPr>
      <w:widowControl w:val="0"/>
      <w:shd w:val="clear" w:color="auto" w:fill="FFFFFF"/>
      <w:spacing w:before="600" w:after="420" w:line="240" w:lineRule="atLeast"/>
      <w:jc w:val="center"/>
      <w:outlineLvl w:val="1"/>
    </w:pPr>
    <w:rPr>
      <w:b/>
      <w:bCs/>
      <w:spacing w:val="10"/>
      <w:sz w:val="25"/>
      <w:szCs w:val="25"/>
    </w:rPr>
  </w:style>
  <w:style w:type="table" w:customStyle="1" w:styleId="13">
    <w:name w:val="Сетка таблицы1"/>
    <w:basedOn w:val="a1"/>
    <w:next w:val="a5"/>
    <w:uiPriority w:val="59"/>
    <w:rsid w:val="00BF386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inpromch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prom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0C8F1-9CE2-4304-95CE-0BA56325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Chergizhanov</dc:creator>
  <cp:keywords/>
  <dc:description/>
  <cp:lastModifiedBy>SAYD-AHMED</cp:lastModifiedBy>
  <cp:revision>7</cp:revision>
  <cp:lastPrinted>2022-02-17T09:18:00Z</cp:lastPrinted>
  <dcterms:created xsi:type="dcterms:W3CDTF">2022-06-29T15:04:00Z</dcterms:created>
  <dcterms:modified xsi:type="dcterms:W3CDTF">2022-10-28T12:50:00Z</dcterms:modified>
</cp:coreProperties>
</file>